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REGLAMENT DE RÈGIM INTERN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UNITAT DE TREBALL SOCIAL DE LA MANCOMUNITAT PLA DE MALLORCA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unitat de treball social (UTS) constitueix el primer nivell d'atenció del Sistema Públic de Serveis Socials com a resposta propera davant qualsevol demanda o necessitat social. Té com a finalitat assegurar el dret de les persones a viure dignament durant totes les etapes de la vida, mitjançant la cobertura de llurs necessitats personals bàsiques i de les necessitats socials.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Mancomunitat Pla de Mallorca es configura com a agrupació de municipis el 16/02/1982, amb l’objectiu de realitzar la recollida i eliminació de residus sòlids urbans.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mesura que augmentava la necessitat de prestacions de nous serveis a demanda de la ciutadania, i al temps que els/les representants/es municipals prenen consciència que la mancomunitat podia ser una bona eina per la prestació dels mateixos, es produí el compromís d’assolir nous objectius.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març de 1989 comencen els Serveis Socials Comunitaris.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Dades de l’entitat: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Mancomunitat Pla de Mallorca té la seu c/ Hospital, 28 de Petra Tel. 971 83 04 41 CIF : P5704101D Professional de referència: Petra Juan Socias.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UTS es troba ubicada a c/ Placeta des Peix, 2 de Petra Tel. 971 83 04 41 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té 1</w:t>
      </w:r>
      <w:r w:rsidDel="00000000" w:rsidR="00000000" w:rsidRPr="00000000">
        <w:rPr>
          <w:rFonts w:ascii="Arial" w:cs="Arial" w:eastAsia="Arial" w:hAnsi="Arial"/>
          <w:i w:val="1"/>
          <w:sz w:val="22"/>
          <w:szCs w:val="22"/>
          <w:rtl w:val="0"/>
        </w:rPr>
        <w:t xml:space="preserve">4</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punts d'informació,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ubicats a les localitats d’Algaida, Ariany, Costitx , Lloret de Vistalegre, Llubí, Maria de la Salut, Montuïri, Petra, Sant Joan, Santa Eugènia, Sencelles, Sineu i Vilafranca de Bonany.</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NORMES DE  FUNCIONAMENT DEL SERVEI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personal del servei estarà sempre a disposició de les persones usuàries complint les seves funcions.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seguiran unes normes mínimes de convivència, respecte mutu, seguretat e higiene, tractant en tot moment amb el màxim respecte tant a les persones usuàries com al personal del servei, evitant els crits i les baralles.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Tant les persones treballadores com usuàries i familiars tindran cura de les instal·lacions del centre  procurant que estigui net en tot moment.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Queda totalment prohibit el lliurament de regals o almoines dels/les usuàries als treballadors/es de la UTS, així com  la donació de qualsevol tipus de bé.</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està permès fumar dins el centre.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HORARIS D'ATENCIÓ ELS PUNTS D’INFORMACIÓ</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Horari de les treballadores socials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b w:val="1"/>
          <w:color w:val="000000"/>
          <w:sz w:val="22"/>
          <w:szCs w:val="22"/>
          <w:vertAlign w:val="baseline"/>
        </w:rPr>
      </w:pPr>
      <w:r w:rsidDel="00000000" w:rsidR="00000000" w:rsidRPr="00000000">
        <w:rPr>
          <w:rtl w:val="0"/>
        </w:rPr>
      </w:r>
    </w:p>
    <w:p w:rsidR="00000000" w:rsidDel="00000000" w:rsidP="00000000" w:rsidRDefault="00000000" w:rsidRPr="00000000" w14:paraId="00000026">
      <w:pPr>
        <w:jc w:val="both"/>
        <w:rPr>
          <w:b w:val="1"/>
          <w:color w:val="000000"/>
          <w:sz w:val="22"/>
          <w:szCs w:val="22"/>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-1076324</wp:posOffset>
            </wp:positionH>
            <wp:positionV relativeFrom="paragraph">
              <wp:posOffset>0</wp:posOffset>
            </wp:positionV>
            <wp:extent cx="7559675" cy="241617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559675" cy="2416175"/>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procurarà, en la mesura que sigui possible, l'adaptació horària d'atenció a persones que tenen dificultat d'accés a l'horari establert.</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Horari de les educadores socials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-1080134</wp:posOffset>
            </wp:positionH>
            <wp:positionV relativeFrom="paragraph">
              <wp:posOffset>102235</wp:posOffset>
            </wp:positionV>
            <wp:extent cx="7559675" cy="151130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559675" cy="1511300"/>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III.PRESTACIONS  DEL SERVEI</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Servei d'informació, orientació, valoració, intervenció i derivació:</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Constitueix la porta d'entrada a la xarxa pública de Serveis Socials. En aquest servei es duen a terme les primeres atencions i prestacions, així com els contactes de gestió amb la resta de recursos socials. S'ha de passar per aquest servei abans que per qualsevol altre.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Informació i orientació: S'ofereix informació general i especialitzada de les prestacions del sistema públic de serveis socials i, en el seu cas, perquè puguin accedir-hi. En el procés d'orientació i assessorament (individual i/o familiar) s'elaborarà un pla individual d'atenció sempre que es consideri necessari algun tipus d'intervenció que requereixi seguiment i que la persona usuària presti el seu consentiment.</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Valoració i diagnòstic :té per objecte l'estudi convenient per realitzar la valoració individualitzada i fer una avaluació integral de necessitats que permetin fonamentar el diagnòstic del cas.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Intervenció: tramitació de les prestacions, garantint l'accés a les prestacions tècniques, econòmiques i tecnològiques del sistema de serveis socials, i facilitant l'accés a prestacions d'altres sistemes de protecció social.</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Derivació: és el procés mitjançant el qual es deriva a la persona usuària a la prestació que s'ha valorat més idònia. Aquestes prestacions poden ser les següents: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5"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Prestacions dels serveis socials comunitaris bàsics: atenció domiciliària (servei d'ajuda a domicili, servei de teleassistència, servei d'assistència personal, altres serveis de suport domiciliari) etc.</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5"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Prestacions d'altres serveis especialitzats: Serveis d'estades diürnes (centre de dia, servei ocupacional, servei de promoció de l'autonomia personal i prevenció de la situació de dependència), serveis residencials (habitatge supervisat, residència, altres equipaments residencials), prestacions per a dones víctimes de violència de gènere, etc.</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Seguiment: procés pel qual es realitza un seguiment posterior de les intervencions dutes a terme i la detecció de noves situacions de necessitat que requereixin atenció.</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Servei de prevenció i inserció social:</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Té com a finalitat respondre a la necessitat de prevenir la marginació i les seves causes, així com afavorir la incorporació social de persones en risc o en situació d'exclusió social.</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Servei de mediació intercultural:</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Té com a finalitat l’acolliment i la integració social de les persones immigrants. Les actuacions bàsiques d'aquest programa van destinades a dotar les persones immigrants dels coneixements i les habilitats necessaris per integrar-se i desenvolupar-se en la societat balear.</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Prestacions econòmiques: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Subvencions i ajudes econòmiques ordinàries i d'emergència a les que tendran dret totes aquelles persones que compleixin els requisits de la legislació vigent i els criteris que responen al fi específic de cada prestació.</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consideren ajuts econòmics extraordinaris, entre d'altres, les següents:</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Despeses imprescindibles per a l'ús de l'habitatge habitual.</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Despeses excepcionals en què concorrin circumstàncies de necessitat social greu o urgent i que es considerin d'interès per a l'atenció de persones amb una problemàtica important.</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Despeses destinades a cobrir necessitats bàsiques familiars.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Prestacions tecnològiques: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Són les que per mitjà d’un producte, atenent les necessitats socials de la persona, l’ajuden a assolir un major grau d’autonomia, com són: la teleassistència domiciliària, les ajudes instrumentals: llit articulat, una grua ....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SISTEMA DE COBRAMENT DEL PREU</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 caràcter general, els serveis que es presten des dels punts d’informació  municipals dels serveis socials comunitaris són gratuïts per la persona usuària. Estan finançats amb càrrec als seus pressupostos municipals amb autofinançament de l'Administració estatal i  autonòmica sens perjudici de l'establiment de convenis, acords o altres fórmules de cooperació amb altres administracions en el marc de la legislació en matèria de Serveis Socials.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ADMISSIONS I  BAIXES</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Requisits per accedir al servei:</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serveis socials s'adrecen a tots els ciutadans i ciutadanes empadronats/des al municipi. Com a excepció a aquesta condició, s'atendrà a les persones estrangeres, exiliades, refugiades i apàtrides residents en el municipi, d'acord amb el que estableix la normativa estatal bàsica que li sigui d'aplicació i en els tractats i convenis internacionals vigents en aquesta matèria, sense prejudici del que s'estableixi reglamentàriament per a qui es trobi en situació de risc i/o estat de necessitat reconeguda.</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Accés al servei i tramitació de les prestacions: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poden sol·licitar les prestacions a iniciativa de la persona usuària, família, professionals de serveis socials i representants legals, d’acord amb els requeriments i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condicions específiques que per a cadascun es determinen en la corresponent cartera de serveis.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prestacions han d’atorgar-se d’ofici o a petició de la persona beneficiària o representant legal, a través dels serveis socials comunitaris, o bé mitjançant altres entitats amb les quals l’Ajuntament tingui acords o convenis. La prestació s’atorgarà mitjançant resolució de l´ òrgan competent de conformitat amb la legislació vigent.</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sol·licitud presentada per la persona usuària o representant legal es farà d’acord amb els requeriments i condicions específiques per a cadascuna de les prestacions determinades a la cartera de serveis.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Els/les professionals de la Unitat de Treball Social han de concertar una primera entrevista amb la persona, família o representant legal de la persona usuària per verificar les circumstàncies socials i familiars i les necessitats que cal satisfer així com per valorar i emetre el diagnòstic corresponent partir del diagnòstic, els/les professionals de la  UTS establiran els serveis, recursos o prestacions que considerin adients per a la cobertura de les necessitats de la persona usuària.</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 vista del diagnòstic obtingut, les/els professionals de la UTS poden determinar que no procedeix l’atorgament de prestacions o serveis. L´ òrgan competent emetrà resolució denegatòria previ informe dels serveis tècnics en el qual hi constin les circumstàncies que s’han valorat i els motius que donen lloc a la denegació de la sol·licitud.</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disconformitat, la persona usuària pot recórrer la resolució en qüestió mitjançant els procediments legalment establerts.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Pla de treball o programa individual d'atenció</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 treballador/a social ha d’elaborar el pla de treball o programa individual d’atenció tenint en compte els recursos tècnics i humans disponibles, està orientat a aconseguir</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inclusió social, personal educativa o laboral de la persona. Aquest pla de treball o programa individual d’atenció s’ha d'elaborar i consensuar amb la persona usuària, família o unitat de convivència. En cas de risc o desprotecció preval el criteri tècnic.</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L’expedient assistencial i història social</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Totes les persones usuàries tenen un únic expedient obert en l’àmbit dels serveis socials comunitaris el qual inclou una sèrie ordenada de documentació de la persona i, si escau, de la seva família, les diverses intervencions efectuades i la identificació dels professionals que intervenen.  Es respectarà la Llei orgànica 15/1999, de 13 de desembre, de protecció de dades de caràcter personal.</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5.Tancament de l’expedient</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Els motius de tancament poden ser:</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Assoliment dels objectius.</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Assoliment parcial dels objectius.</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Decisió explícita de la persona/família. Si hi ha altres serveis i/o entitats intervenint, se’ls hi comunicarà.</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Absència de la persona/família per període superior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 any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Defunció de la persona/família.</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Decisió del servei per incompliment dels acords.</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Derivació a altres serveis. 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’ha d’especificar el servei.</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Altres.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CAUSES DE SUSPENSIÓ O CESSAMENT DE LA PRESTACIÓ DEL SERVEI</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Suspensió de les prestacions:</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prestacions de serveis socials queden en suspens quan es deixin de reunir les condicions que en van motivar l’atorgament o quan es donin les condicions necessàries perquè la persona beneficiària ho sigui d’altres prestacions no compatibles amb els serveis que formen la xarxa bàsica de serveis socials, amb prestacions sanitàries o bé amb altres prestacions de caràcter personal que els facin incompatibles.</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resolucions provisionals de suspensió han de comunicar-se a les persones beneficiàries o representants legals.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L’aportació de dades incorrectes o falses per part de la persona usuària que hagin suposat l’accés a la prestació sense reunir els requisits establerts suposa la suspensió de la prestació i el rescabalament per part de l’administració prestadora del cost del servei rebut indegudament.</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Extinció de les prestacions:</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prestacions del servei s’extingeixen en produir-se alguna de les següents situacions:</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desestiment de la persona sol·licitant o del seu representant legal.</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finalització de la situació de necessitat que ha generat la prestació del servei.</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defunció de l’usuari/ària.</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incompliment greu i reiterat de les obligacions per part de la persona usuària.</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canvi de domicili de l’usuari/ària fora de la Mancomunitat Pla de Mallorca.</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la situació de risc greu per a la integritat física de la professional que realitzi el servei, per qualsevol circumstancia generadora de perill i quan no hi hagi possibilitat d’evitar-ho.</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Aquelles que es prevegin en les condicions especifiques per a cadascun dels serveis i que es determinin en la cartera de serveis.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CANALS DE PARTICIPACIÓ DE LES PERSONES USUÀRIES I PROCEDIMENTS DE RECLAMACIÓ:</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Suggeriments, queixes i reclamacions:</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 tècnic/a de la UTS haurà de facilitar tota la informació que la persona usuària sol·liciti respecte al funcionament de la prestació que rebi i altres aspectes de l'activitat que puguin ser del seu interès. Els/les usuàries podran formular queixes i/o reclamacions, així com  qualsevol tipus de suggeriment que comporti una millora del servei.</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persones que desitgin presentar queixes, reclamacions o suggeriments sobre qualsevol aspecte del personal, del funcionament o dels serveis, les poden fer arribar per diferents vies: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Presencialment, mitjançant els fulls de queixes i suggeriments i/o mitjançant el llibre de reclamacions que tindran a la seva disposició a les oficines ubicades al carrer Placeta des Peix, 2 de Petra.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electrònica, mitjançant el formulari de queixes i suggeriments (o queixes, suggeriments i reclamacions)  que tindran a la seva disposició a la pàgina web de la Mancomunitat Pla de Mallorca.</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departament de Serveis Socials Comunitaris haurà de resoldre per escrit les queixes i reclamacions en un termini màxim de 3 mesos.</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Enquestes de satisfacció:</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finalitat de dites enquestes és la de conèixer la seva opinió sobre els diferents aspectes relacionats amb la qualitat de la prestació del servei, així com fomentar la seva participació en la millora d'aquest</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CARTA DE DRETS I DEURES</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Les persones destinatàries dels serveis socials tenen els DRETS següents:</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accedir al sistema de serveis socials en condicions d’igualtat sense discriminació per raó de lloc de naixement, idioma, ètnia, sexe, orientació sexual, estat civil, situació familiar, edat, discapacitat, religió, ideologia, opinió o qualsevol altra condició personal o social.</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rebre informació suficient i verídica, en termes comprensibles, sobre les prestacions i els recursos disponibles i sobre els requisits necessaris per accedir als serveis, i també sobre altres recursos de protecció social i sobre les competències de les administracions públiques en aquest àmbit. Per fer-ho efectiu, s’ha de disposar dels ajuts i els suports necessaris per comprendre la informació que els sigui donada si tenen dificultats derivades del desconeixement de la llengua, si tenen alguna discapacitat o per altres raons que ho justifiquin.</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rebre la valoració de la seva situació i, si és procedent, la valoració de les necessitats socials dels familiars o de les persones que en tenen cura, en un llenguatge clar i entenedor.</w:t>
      </w: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disposar d’un pla individual d’atenció personal o familiar d’acord amb la valoració de la seva situació, que han d’aplicar tècnicament professionals mitjançant procediments reconeguts i acreditats.</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estar informades del procés d’intervenció social i a participar en l’elecció dels serveis o les prestacions entre les opcions que els presentin les administracions, sempre que aquests fets no vagin en contra del normal desenvolupament de l’atenció o perjudiquin a alguna de les parts que hi intervenen.</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rebre informació prèvia amb relació a qualsevol intervenció que els afecti, per tal que hi puguin donar consentiment específic i lliure. El consentiment ha de ser en tot cas per escrit quan la intervenció impliqui ingrés en un centre residencial. El consentiment de les persones incapacitades i de les persones menors d’edat s’atorga de conformitat amb el procediment legalment establert per a aquests casos.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renunciar les prestacions i als serveis concedits en els termes establerts per la legislació vigent, llevat que la renúncia afecti els interessos de les persones menors d’edat o de persones incapacitades o presumptament incapaces.</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la confidencialitat respecte de la informació que coneguin els serveis socials, d’acord amb la legislació de protecció de dades de caràcter personal.</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l’accés, en qualsevol moment, al seu expedient individual, d’acord amb el que estableix la legislació vigent, i en tot el que no vulneri el dret a la intimitat de terceres persones.</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l’assignació de personal professional de referència, en els termes establerts reglamentàriament.</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la participació regulada en el títol IV d’aquesta llei.</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rebre serveis de qualitat i a conèixer els estàndards establerts a aquest efecte.</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suggerir i a fer reclamacions.</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domiciliar-se sempre que es compleixin els requisits establerts a la normativa vigent.</w:t>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la continuïtat de la prestació dels serveis en les condicions establertes o convingudes.</w:t>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Dret a ser orientades cap a altres recursos alternatius que siguin necessaris.</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resta de drets que estableixi la normativa reguladora dels centres i serveis.</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persones destinatàries dels serveis socials tenen els DEURES següents:</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Complir les normes, els requisits, les condicions i els procediments establerts en les prestacions i els serveis; seguir el programa d’atenció i les orientacions que s’hagin acordat amb el personal professional competent, i comprometre’s a participar activament en el procés.</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Facilitar informació verídica sobre les circumstàncies personals, familiars i econòmiques, sempre que el seu coneixement sigui necessari per valorar i atendre la seva situació, i també comunicar les variacions que es produeixin.</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Destinar la prestació econòmica a la finalitat per a la qual fou concedida.</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Acudir a les entrevistes a les quals les citi el personal professional dels serveis socials.</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Contribuir al finançament del cost del servei quan es tengui capacitat econòmica i així s’estableixi normativament.</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Informar sobre qualsevol canvi que es produeixi quant a la seva situació personal, familiar, social i econòmica, que pugui donar lloc a modificar, suspendre o extingir la prestació.</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Complir el reglament de règim intern.</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Signar el contracte assistencial pertinent amb l’entitat prestadora del servei.</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resta de deures que estableixi la normativa reguladora dels centres i serveis.</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INFRACCIONS I SANCIONS DE LES PERSONES USUÀRIES</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Són infraccions lleus de les persones usuàries o beneficiàries de prestacions, les següents:</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facilitar la informació sobre els canvis en la situació personal, familiar, econòmica i social.</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complir els acords relacionats amb el servei o prestació concedida .</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manca de respecte als/les professionals, a altres persones usuàries o visitants del centre.</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Incomplir els preceptes del present reglament de règim intern l'incompliment dels quals no estigui tipificat com a falta greu o molt greu.</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Són infraccions greus de les persones usuàries o beneficiàries de prestacions, les següents:</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Falsejar dades a l’administració.</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comunicar als/les professionals els canvis o les alteracions de les circumstàncies o dels requisits que varen determinar la concessió del recurs/prestació.</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Produir danys a les instal·lacions del centre, altres dependències municipals o locals on es porti a terme la intervenció.</w:t>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destinar la prestació a la finalitat per a la qual s’hagi concedit.</w:t>
      </w: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complir de forma reiterada i contínua els acords relacionats amb el servei, la prestació o el recurs concedit.</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Es considerarà infracció molt greu l’agressió física o psicològica al personal que presta el servei, així com les amenaces que suposin un risc per a la integritat dels professionals.</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 professional que tingui coneixement d’una acció/omissió de les descrites anteriorment serà el que insti l’inici del procediment sancionador d'acord amb el que es detalla a continuació.</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S’estableixen tres nivells de sancions o mesures:</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a faltes lleus s'advertirà verbalment a la persona usuària. El/la professional i el/la coordinador/a de la corresponent UTS convocaran una entrevista amb la persona</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usuària per aquest fi. Es deixarà constància dels fets dins l'expedient, mitjançant la diligència de «Fer constar».</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Les infraccions greus suposaran el tancament temporal, d'entre dos a sis mesos de l'expedient. Ara bé, quan a l’expedient hi hagi intervencions dirigides a menors amb processos positius, com és ara beques d’inserció en risc i recursos per a la integració educativa, laboral i social dels menors, sols es tancaran les referides a les persones  adultes amb la intenció de preservar dits processos.</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Les infraccions molt greus suposaran la interrupció immediata del servei fins que la comissió dictamini les mesures a prendre. En la intervenció individual-familiar el tancament de l’expedient serà com a mínim de sis mesos.]</w:t>
      </w:r>
    </w:p>
    <w:sectPr>
      <w:headerReference r:id="rId9" w:type="default"/>
      <w:headerReference r:id="rId10" w:type="first"/>
      <w:pgSz w:h="16838" w:w="11906" w:orient="portrait"/>
      <w:pgMar w:bottom="1417" w:top="1417" w:left="1701" w:right="1701" w:header="7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-567054</wp:posOffset>
          </wp:positionH>
          <wp:positionV relativeFrom="paragraph">
            <wp:posOffset>-2009774</wp:posOffset>
          </wp:positionV>
          <wp:extent cx="2195195" cy="1480185"/>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195195" cy="1480185"/>
                  </a:xfrm>
                  <a:prstGeom prst="rect"/>
                  <a:ln/>
                </pic:spPr>
              </pic:pic>
            </a:graphicData>
          </a:graphic>
        </wp:anchor>
      </w:drawing>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16"/>
        <w:szCs w:val="16"/>
      </w:rPr>
      <w:drawing>
        <wp:inline distB="114300" distT="114300" distL="114300" distR="114300">
          <wp:extent cx="962025" cy="64770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62025" cy="647700"/>
                  </a:xfrm>
                  <a:prstGeom prst="rect"/>
                  <a:ln/>
                </pic:spPr>
              </pic:pic>
            </a:graphicData>
          </a:graphic>
        </wp:inline>
      </w:drawing>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SimSun" w:hAnsi="Times New Roman"/>
      <w:w w:val="100"/>
      <w:position w:val="-1"/>
      <w:sz w:val="24"/>
      <w:szCs w:val="24"/>
      <w:effect w:val="none"/>
      <w:vertAlign w:val="baseline"/>
      <w:cs w:val="0"/>
      <w:em w:val="none"/>
      <w:lang w:bidi="ar-SA" w:eastAsia="zh-CN" w:val="ca-ES"/>
    </w:rPr>
  </w:style>
  <w:style w:type="character" w:styleId="WW8Num1z0">
    <w:name w:val="WW8Num1z0"/>
    <w:next w:val="WW8Num1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2z0">
    <w:name w:val="WW8Num2z0"/>
    <w:next w:val="WW8Num2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3z0">
    <w:name w:val="WW8Num3z0"/>
    <w:next w:val="WW8Num3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4z0">
    <w:name w:val="WW8Num4z0"/>
    <w:next w:val="WW8Num4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5z0">
    <w:name w:val="WW8Num5z0"/>
    <w:next w:val="WW8Num5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6z0">
    <w:name w:val="WW8Num6z0"/>
    <w:next w:val="WW8Num6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7z0">
    <w:name w:val="WW8Num7z0"/>
    <w:next w:val="WW8Num7z0"/>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9z0">
    <w:name w:val="WW8Num9z0"/>
    <w:next w:val="WW8Num9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hint="default"/>
      <w:color w:val="auto"/>
      <w:w w:val="100"/>
      <w:position w:val="-1"/>
      <w:sz w:val="22"/>
      <w:szCs w:val="22"/>
      <w:effect w:val="none"/>
      <w:vertAlign w:val="baseline"/>
      <w:cs w:val="0"/>
      <w:em w:val="none"/>
      <w:lang w:val="ca-ES"/>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paragraph" w:styleId="Encapçalament">
    <w:name w:val="Encapçalament"/>
    <w:basedOn w:val="Normal"/>
    <w:next w:val="Cosdeltext"/>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osdeltext">
    <w:name w:val="Cos del text"/>
    <w:basedOn w:val="Normal"/>
    <w:next w:val="Cosdeltext"/>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SimSun" w:hAnsi="Times New Roman"/>
      <w:w w:val="100"/>
      <w:position w:val="-1"/>
      <w:sz w:val="24"/>
      <w:szCs w:val="24"/>
      <w:effect w:val="none"/>
      <w:vertAlign w:val="baseline"/>
      <w:cs w:val="0"/>
      <w:em w:val="none"/>
      <w:lang w:bidi="ar-SA" w:eastAsia="zh-CN" w:val="ca-ES"/>
    </w:rPr>
  </w:style>
  <w:style w:type="paragraph" w:styleId="Llista">
    <w:name w:val="Llista"/>
    <w:basedOn w:val="Cosdeltext"/>
    <w:next w:val="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Mangal" w:eastAsia="SimSun" w:hAnsi="Times New Roman"/>
      <w:w w:val="100"/>
      <w:position w:val="-1"/>
      <w:sz w:val="24"/>
      <w:szCs w:val="24"/>
      <w:effect w:val="none"/>
      <w:vertAlign w:val="baseline"/>
      <w:cs w:val="0"/>
      <w:em w:val="none"/>
      <w:lang w:bidi="ar-SA" w:eastAsia="zh-CN" w:val="ca-ES"/>
    </w:rPr>
  </w:style>
  <w:style w:type="paragraph" w:styleId="Llegenda">
    <w:name w:val="Llegenda"/>
    <w:basedOn w:val="Normal"/>
    <w:next w:val="Lleg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SimSun" w:hAnsi="Times New Roman"/>
      <w:i w:val="1"/>
      <w:iCs w:val="1"/>
      <w:w w:val="100"/>
      <w:position w:val="-1"/>
      <w:sz w:val="24"/>
      <w:szCs w:val="24"/>
      <w:effect w:val="none"/>
      <w:vertAlign w:val="baseline"/>
      <w:cs w:val="0"/>
      <w:em w:val="none"/>
      <w:lang w:bidi="ar-SA" w:eastAsia="zh-CN" w:val="ca-ES"/>
    </w:rPr>
  </w:style>
  <w:style w:type="paragraph" w:styleId="Índex">
    <w:name w:val="Índex"/>
    <w:basedOn w:val="Normal"/>
    <w:next w:val="Índex"/>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SimSun" w:hAnsi="Times New Roman"/>
      <w:w w:val="100"/>
      <w:position w:val="-1"/>
      <w:sz w:val="24"/>
      <w:szCs w:val="24"/>
      <w:effect w:val="none"/>
      <w:vertAlign w:val="baseline"/>
      <w:cs w:val="0"/>
      <w:em w:val="none"/>
      <w:lang w:bidi="ar-SA" w:eastAsia="zh-CN" w:val="ca-ES"/>
    </w:rPr>
  </w:style>
  <w:style w:type="paragraph" w:styleId="Título">
    <w:name w:val="Título"/>
    <w:basedOn w:val="Normal"/>
    <w:next w:val="Cosdeltext"/>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SimSun" w:hAnsi="Times New Roman"/>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position w:val="-1"/>
      <w:sz w:val="24"/>
      <w:szCs w:val="24"/>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spacing w:line="1" w:lineRule="atLeast"/>
      <w:ind w:leftChars="-1" w:rightChars="0" w:firstLineChars="-1"/>
      <w:textDirection w:val="btLr"/>
      <w:textAlignment w:val="top"/>
      <w:outlineLvl w:val="0"/>
    </w:pPr>
    <w:rPr>
      <w:rFonts w:ascii="Arial" w:cs="Arial" w:eastAsia="SimSun" w:hAnsi="Arial"/>
      <w:color w:val="000000"/>
      <w:w w:val="100"/>
      <w:position w:val="-1"/>
      <w:sz w:val="24"/>
      <w:szCs w:val="24"/>
      <w:effect w:val="none"/>
      <w:vertAlign w:val="baseline"/>
      <w:cs w:val="0"/>
      <w:em w:val="none"/>
      <w:lang w:bidi="ar-SA" w:eastAsia="zh-CN" w:val="es-ES"/>
    </w:rPr>
  </w:style>
  <w:style w:type="paragraph" w:styleId="Capçalera">
    <w:name w:val="Capçalera"/>
    <w:basedOn w:val="Normal"/>
    <w:next w:val="Capçaler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SimSun" w:hAnsi="Times New Roman"/>
      <w:w w:val="100"/>
      <w:position w:val="-1"/>
      <w:sz w:val="24"/>
      <w:szCs w:val="24"/>
      <w:effect w:val="none"/>
      <w:vertAlign w:val="baseline"/>
      <w:cs w:val="0"/>
      <w:em w:val="none"/>
      <w:lang w:bidi="ar-SA" w:eastAsia="zh-CN" w:val="ca-ES"/>
    </w:rPr>
  </w:style>
  <w:style w:type="paragraph" w:styleId="Peudepàgina">
    <w:name w:val="Peu de pàgina"/>
    <w:basedOn w:val="Normal"/>
    <w:next w:val="Peudepàgin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SimSun" w:hAnsi="Times New Roman"/>
      <w:w w:val="100"/>
      <w:position w:val="-1"/>
      <w:sz w:val="24"/>
      <w:szCs w:val="24"/>
      <w:effect w:val="none"/>
      <w:vertAlign w:val="baseline"/>
      <w:cs w:val="0"/>
      <w:em w:val="none"/>
      <w:lang w:bidi="ar-SA" w:eastAsia="zh-CN" w:val="ca-ES"/>
    </w:rPr>
  </w:style>
  <w:style w:type="paragraph" w:styleId="Contenidodelatabla">
    <w:name w:val="Contenido de la tabla"/>
    <w:basedOn w:val="Normal"/>
    <w:next w:val="Contenidodelatab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SimSun" w:hAnsi="Times New Roman"/>
      <w:w w:val="100"/>
      <w:position w:val="-1"/>
      <w:sz w:val="24"/>
      <w:szCs w:val="24"/>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SimSun" w:hAnsi="Times New Roman"/>
      <w:b w:val="1"/>
      <w:bCs w:val="1"/>
      <w:w w:val="100"/>
      <w:position w:val="-1"/>
      <w:sz w:val="24"/>
      <w:szCs w:val="24"/>
      <w:effect w:val="none"/>
      <w:vertAlign w:val="baseline"/>
      <w:cs w:val="0"/>
      <w:em w:val="none"/>
      <w:lang w:bidi="ar-SA" w:eastAsia="zh-CN" w:val="ca-ES"/>
    </w:rPr>
  </w:style>
  <w:style w:type="paragraph" w:styleId="Contingutdelataula">
    <w:name w:val="Contingut de la taula"/>
    <w:basedOn w:val="Normal"/>
    <w:next w:val="Contingutdelatau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SimSun" w:hAnsi="Times New Roman"/>
      <w:w w:val="100"/>
      <w:position w:val="-1"/>
      <w:sz w:val="24"/>
      <w:szCs w:val="24"/>
      <w:effect w:val="none"/>
      <w:vertAlign w:val="baseline"/>
      <w:cs w:val="0"/>
      <w:em w:val="none"/>
      <w:lang w:bidi="ar-SA" w:eastAsia="zh-CN" w:val="ca-ES"/>
    </w:rPr>
  </w:style>
  <w:style w:type="paragraph" w:styleId="Encapçalamentdelataula">
    <w:name w:val="Encapçalament de la taula"/>
    <w:basedOn w:val="Contingutdelataula"/>
    <w:next w:val="Encapçalamentdelatau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SimSun" w:hAnsi="Times New Roman"/>
      <w:b w:val="1"/>
      <w:bCs w:val="1"/>
      <w:w w:val="100"/>
      <w:position w:val="-1"/>
      <w:sz w:val="24"/>
      <w:szCs w:val="24"/>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GC86DYVklyT5NPOSLaAZpk+Cg==">CgMxLjA4AHIhMTQxVk1DYldodVNBaTFBTW9RUE9qSDk1ZXd2NTY1b0NZ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2017-03-16T11:17:00Z</dcterms:created>
  <dc:creator>67at-mferrer</dc:creator>
</cp:coreProperties>
</file>

<file path=docProps/custom.xml><?xml version="1.0" encoding="utf-8"?>
<Properties xmlns="http://schemas.openxmlformats.org/officeDocument/2006/custom-properties" xmlns:vt="http://schemas.openxmlformats.org/officeDocument/2006/docPropsVTypes"/>
</file>